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FA" w:rsidRPr="00FE653E" w:rsidRDefault="000D15FA" w:rsidP="000D15FA">
      <w:pPr>
        <w:jc w:val="center"/>
        <w:rPr>
          <w:b/>
          <w:i/>
          <w:sz w:val="28"/>
          <w:szCs w:val="28"/>
          <w:lang w:val="lv-LV"/>
        </w:rPr>
      </w:pPr>
      <w:r w:rsidRPr="00FE653E">
        <w:rPr>
          <w:b/>
          <w:i/>
          <w:sz w:val="28"/>
          <w:szCs w:val="28"/>
          <w:lang w:val="lv-LV"/>
        </w:rPr>
        <w:t>Kopsavilkums</w:t>
      </w:r>
    </w:p>
    <w:p w:rsidR="000D15FA" w:rsidRPr="00FE653E" w:rsidRDefault="000D15FA" w:rsidP="000D15FA">
      <w:pPr>
        <w:jc w:val="center"/>
        <w:rPr>
          <w:b/>
          <w:i/>
          <w:sz w:val="28"/>
          <w:szCs w:val="28"/>
          <w:lang w:val="lv-LV"/>
        </w:rPr>
      </w:pPr>
      <w:r w:rsidRPr="00FE653E">
        <w:rPr>
          <w:b/>
          <w:i/>
          <w:sz w:val="28"/>
          <w:szCs w:val="28"/>
          <w:lang w:val="lv-LV"/>
        </w:rPr>
        <w:t>Rīcības programma</w:t>
      </w:r>
      <w:r w:rsidR="00440344">
        <w:rPr>
          <w:b/>
          <w:i/>
          <w:sz w:val="28"/>
          <w:szCs w:val="28"/>
          <w:lang w:val="lv-LV"/>
        </w:rPr>
        <w:t>s</w:t>
      </w:r>
      <w:bookmarkStart w:id="0" w:name="_GoBack"/>
      <w:bookmarkEnd w:id="0"/>
      <w:r w:rsidRPr="00FE653E">
        <w:rPr>
          <w:b/>
          <w:i/>
          <w:sz w:val="28"/>
          <w:szCs w:val="28"/>
          <w:lang w:val="lv-LV"/>
        </w:rPr>
        <w:t xml:space="preserve"> zivsaimniecības attīstībai 2014.-2020. gadam</w:t>
      </w:r>
    </w:p>
    <w:p w:rsidR="000D15FA" w:rsidRPr="00FE653E" w:rsidRDefault="000D15FA" w:rsidP="000D15FA">
      <w:pPr>
        <w:jc w:val="center"/>
        <w:rPr>
          <w:b/>
          <w:i/>
          <w:sz w:val="28"/>
          <w:szCs w:val="28"/>
          <w:lang w:val="lv-LV"/>
        </w:rPr>
      </w:pPr>
      <w:r w:rsidRPr="00FE653E">
        <w:rPr>
          <w:b/>
          <w:i/>
          <w:sz w:val="28"/>
          <w:szCs w:val="28"/>
          <w:lang w:val="lv-LV"/>
        </w:rPr>
        <w:t>īstenošanas ziņojumam par 201</w:t>
      </w:r>
      <w:r w:rsidR="00FE653E" w:rsidRPr="00FE653E">
        <w:rPr>
          <w:b/>
          <w:i/>
          <w:sz w:val="28"/>
          <w:szCs w:val="28"/>
          <w:lang w:val="lv-LV"/>
        </w:rPr>
        <w:t>8</w:t>
      </w:r>
      <w:r w:rsidRPr="00FE653E">
        <w:rPr>
          <w:b/>
          <w:i/>
          <w:sz w:val="28"/>
          <w:szCs w:val="28"/>
          <w:lang w:val="lv-LV"/>
        </w:rPr>
        <w:t>. gadu</w:t>
      </w:r>
    </w:p>
    <w:p w:rsidR="00FF47B5" w:rsidRPr="00FE653E" w:rsidRDefault="00FF47B5" w:rsidP="00FF47B5">
      <w:pPr>
        <w:spacing w:before="0" w:after="0"/>
        <w:rPr>
          <w:lang w:val="lv-LV"/>
        </w:rPr>
      </w:pPr>
    </w:p>
    <w:p w:rsidR="00FE653E" w:rsidRPr="00FE653E" w:rsidRDefault="00FE653E" w:rsidP="00FE653E">
      <w:pPr>
        <w:spacing w:before="0" w:after="240"/>
        <w:ind w:firstLine="510"/>
        <w:rPr>
          <w:lang w:val="lv-LV"/>
        </w:rPr>
      </w:pPr>
      <w:r w:rsidRPr="00FE653E">
        <w:rPr>
          <w:lang w:val="lv-LV"/>
        </w:rPr>
        <w:t>2018. gadā tika turpināta ZRP ieviešanai izstrādātās normatīvo aktu bāzes pilnveidošana. Tika veikta normatīvajos aktos ietverto atbalsta piešķiršanas nosacījumu aktualizācija, lai nodrošinātu pieejamā publiskā finansējuma efektīvu piesaisti šādos ZRP pasākumos:</w:t>
      </w:r>
    </w:p>
    <w:p w:rsidR="00FE653E" w:rsidRPr="00FE653E" w:rsidRDefault="00FE653E" w:rsidP="00FE653E">
      <w:pPr>
        <w:numPr>
          <w:ilvl w:val="0"/>
          <w:numId w:val="2"/>
        </w:numPr>
        <w:spacing w:before="240" w:after="0"/>
        <w:ind w:hanging="210"/>
        <w:jc w:val="left"/>
        <w:rPr>
          <w:lang w:val="lv-LV"/>
        </w:rPr>
      </w:pPr>
      <w:r w:rsidRPr="00FE653E">
        <w:rPr>
          <w:lang w:val="lv-LV"/>
        </w:rPr>
        <w:t xml:space="preserve">Inovācija </w:t>
      </w:r>
      <w:proofErr w:type="gramStart"/>
      <w:r w:rsidRPr="00FE653E">
        <w:rPr>
          <w:lang w:val="lv-LV"/>
        </w:rPr>
        <w:t>(</w:t>
      </w:r>
      <w:proofErr w:type="gramEnd"/>
      <w:r w:rsidRPr="00FE653E">
        <w:rPr>
          <w:lang w:val="lv-LV"/>
        </w:rPr>
        <w:t>1. un 2. Savienības prioritāte);</w:t>
      </w:r>
    </w:p>
    <w:p w:rsidR="00FE653E" w:rsidRPr="00FE653E" w:rsidRDefault="00FE653E" w:rsidP="00FE653E">
      <w:pPr>
        <w:numPr>
          <w:ilvl w:val="0"/>
          <w:numId w:val="2"/>
        </w:numPr>
        <w:spacing w:before="0" w:after="0"/>
        <w:ind w:hanging="210"/>
        <w:jc w:val="left"/>
        <w:rPr>
          <w:lang w:val="lv-LV"/>
        </w:rPr>
      </w:pPr>
      <w:r w:rsidRPr="00FE653E">
        <w:rPr>
          <w:lang w:val="lv-LV"/>
        </w:rPr>
        <w:t>Akvakultūras saimniecībām paredzēti pārvaldības un konsultāciju pakalpojumi;</w:t>
      </w:r>
    </w:p>
    <w:p w:rsidR="00FE653E" w:rsidRPr="00FE653E" w:rsidRDefault="00FE653E" w:rsidP="00FE653E">
      <w:pPr>
        <w:numPr>
          <w:ilvl w:val="0"/>
          <w:numId w:val="2"/>
        </w:numPr>
        <w:spacing w:before="0" w:after="0"/>
        <w:ind w:hanging="210"/>
        <w:jc w:val="left"/>
        <w:rPr>
          <w:lang w:val="lv-LV"/>
        </w:rPr>
      </w:pPr>
      <w:r w:rsidRPr="00FE653E">
        <w:rPr>
          <w:lang w:val="lv-LV"/>
        </w:rPr>
        <w:t>Akvakultūra, kas nodrošina vides pakalpojumus;</w:t>
      </w:r>
    </w:p>
    <w:p w:rsidR="00FE653E" w:rsidRPr="00FE653E" w:rsidRDefault="00FE653E" w:rsidP="00FE653E">
      <w:pPr>
        <w:numPr>
          <w:ilvl w:val="0"/>
          <w:numId w:val="2"/>
        </w:numPr>
        <w:spacing w:before="0" w:after="0"/>
        <w:ind w:hanging="210"/>
        <w:jc w:val="left"/>
        <w:rPr>
          <w:lang w:val="lv-LV"/>
        </w:rPr>
      </w:pPr>
      <w:r w:rsidRPr="00FE653E">
        <w:rPr>
          <w:lang w:val="lv-LV"/>
        </w:rPr>
        <w:t>Produktīvi ieguldījumi akvakultūrā;</w:t>
      </w:r>
    </w:p>
    <w:p w:rsidR="00FE653E" w:rsidRPr="00FE653E" w:rsidRDefault="00FE653E" w:rsidP="00FE653E">
      <w:pPr>
        <w:numPr>
          <w:ilvl w:val="0"/>
          <w:numId w:val="2"/>
        </w:numPr>
        <w:spacing w:before="0" w:after="0"/>
        <w:ind w:hanging="210"/>
        <w:jc w:val="left"/>
        <w:rPr>
          <w:lang w:val="lv-LV"/>
        </w:rPr>
      </w:pPr>
      <w:r w:rsidRPr="00FE653E">
        <w:rPr>
          <w:lang w:val="lv-LV"/>
        </w:rPr>
        <w:t>Sabiedrības virzītas vietējās attīstības stratēģiju īstenošana;</w:t>
      </w:r>
    </w:p>
    <w:p w:rsidR="00FE653E" w:rsidRPr="00FE653E" w:rsidRDefault="00FE653E" w:rsidP="00FE653E">
      <w:pPr>
        <w:numPr>
          <w:ilvl w:val="0"/>
          <w:numId w:val="2"/>
        </w:numPr>
        <w:spacing w:before="0" w:after="240"/>
        <w:ind w:hanging="210"/>
        <w:jc w:val="left"/>
        <w:rPr>
          <w:lang w:val="lv-LV"/>
        </w:rPr>
      </w:pPr>
      <w:r w:rsidRPr="00FE653E">
        <w:rPr>
          <w:lang w:val="lv-LV"/>
        </w:rPr>
        <w:t>Sadarbības pasākumi.</w:t>
      </w:r>
    </w:p>
    <w:p w:rsidR="00FE653E" w:rsidRPr="00FE653E" w:rsidRDefault="00FE653E" w:rsidP="00FE653E">
      <w:pPr>
        <w:spacing w:before="240" w:after="240"/>
        <w:ind w:firstLine="510"/>
        <w:rPr>
          <w:lang w:val="lv-LV"/>
        </w:rPr>
      </w:pPr>
      <w:r w:rsidRPr="00FE653E">
        <w:rPr>
          <w:lang w:val="lv-LV"/>
        </w:rPr>
        <w:t>EJZF ietvaros tika izsludinātas 30 atbalsta pretendentu projektu iesniegumu pieņemšanas kārtas ar kopējo publisko finansējumu 66,4 milj. EUR apmērā šādos ZRP pasākumos:</w:t>
      </w:r>
    </w:p>
    <w:p w:rsidR="00FE653E" w:rsidRPr="00FE653E" w:rsidRDefault="00FE653E" w:rsidP="00FE653E">
      <w:pPr>
        <w:numPr>
          <w:ilvl w:val="0"/>
          <w:numId w:val="3"/>
        </w:numPr>
        <w:spacing w:before="240" w:after="0"/>
        <w:ind w:hanging="210"/>
        <w:jc w:val="left"/>
        <w:rPr>
          <w:lang w:val="lv-LV"/>
        </w:rPr>
      </w:pPr>
      <w:r w:rsidRPr="00FE653E">
        <w:rPr>
          <w:lang w:val="lv-LV"/>
        </w:rPr>
        <w:t xml:space="preserve">Inovācija </w:t>
      </w:r>
      <w:proofErr w:type="gramStart"/>
      <w:r w:rsidRPr="00FE653E">
        <w:rPr>
          <w:lang w:val="lv-LV"/>
        </w:rPr>
        <w:t>(</w:t>
      </w:r>
      <w:proofErr w:type="gramEnd"/>
      <w:r w:rsidRPr="00FE653E">
        <w:rPr>
          <w:lang w:val="lv-LV"/>
        </w:rPr>
        <w:t>1. un 2. Savienības prioritāte);</w:t>
      </w:r>
    </w:p>
    <w:p w:rsidR="00FE653E" w:rsidRPr="00FE653E" w:rsidRDefault="00FE653E" w:rsidP="00FE653E">
      <w:pPr>
        <w:numPr>
          <w:ilvl w:val="0"/>
          <w:numId w:val="3"/>
        </w:numPr>
        <w:spacing w:before="0" w:after="0"/>
        <w:ind w:hanging="210"/>
        <w:jc w:val="left"/>
        <w:rPr>
          <w:lang w:val="lv-LV"/>
        </w:rPr>
      </w:pPr>
      <w:r w:rsidRPr="00FE653E">
        <w:rPr>
          <w:lang w:val="lv-LV"/>
        </w:rPr>
        <w:t>Atbalsts saglabāšanas pasākumiem;</w:t>
      </w:r>
    </w:p>
    <w:p w:rsidR="00FE653E" w:rsidRPr="00FE653E" w:rsidRDefault="00FE653E" w:rsidP="00FE653E">
      <w:pPr>
        <w:numPr>
          <w:ilvl w:val="0"/>
          <w:numId w:val="3"/>
        </w:numPr>
        <w:spacing w:before="0" w:after="0"/>
        <w:ind w:hanging="210"/>
        <w:jc w:val="left"/>
        <w:rPr>
          <w:lang w:val="lv-LV"/>
        </w:rPr>
      </w:pPr>
      <w:r w:rsidRPr="00FE653E">
        <w:rPr>
          <w:lang w:val="lv-LV"/>
        </w:rPr>
        <w:t xml:space="preserve">Zvejas flotes modernizācija </w:t>
      </w:r>
      <w:proofErr w:type="gramStart"/>
      <w:r w:rsidRPr="00FE653E">
        <w:rPr>
          <w:lang w:val="lv-LV"/>
        </w:rPr>
        <w:t>(</w:t>
      </w:r>
      <w:proofErr w:type="gramEnd"/>
      <w:r w:rsidRPr="00FE653E">
        <w:rPr>
          <w:lang w:val="lv-LV"/>
        </w:rPr>
        <w:t>Veselība un drošība un Zvejas ietekmes uz jūras vidi ierobežošana un zvejas pielāgošana sugu aizsardzībai;</w:t>
      </w:r>
    </w:p>
    <w:p w:rsidR="00FE653E" w:rsidRPr="00FE653E" w:rsidRDefault="00FE653E" w:rsidP="00FE653E">
      <w:pPr>
        <w:numPr>
          <w:ilvl w:val="0"/>
          <w:numId w:val="3"/>
        </w:numPr>
        <w:spacing w:before="0" w:after="0"/>
        <w:ind w:hanging="210"/>
        <w:jc w:val="left"/>
        <w:rPr>
          <w:lang w:val="lv-LV"/>
        </w:rPr>
      </w:pPr>
      <w:r w:rsidRPr="00FE653E">
        <w:rPr>
          <w:lang w:val="lv-LV"/>
        </w:rPr>
        <w:t>Zvejas ostas un izkraušanas vietas;</w:t>
      </w:r>
    </w:p>
    <w:p w:rsidR="00FE653E" w:rsidRPr="00FE653E" w:rsidRDefault="00FE653E" w:rsidP="00FE653E">
      <w:pPr>
        <w:numPr>
          <w:ilvl w:val="0"/>
          <w:numId w:val="3"/>
        </w:numPr>
        <w:spacing w:before="0" w:after="0"/>
        <w:ind w:hanging="210"/>
        <w:jc w:val="left"/>
        <w:rPr>
          <w:lang w:val="lv-LV"/>
        </w:rPr>
      </w:pPr>
      <w:r w:rsidRPr="00FE653E">
        <w:rPr>
          <w:lang w:val="lv-LV"/>
        </w:rPr>
        <w:t>Pievienotā vērtība, produktu kvalitāte un nevēlamu nozveju izmantošana;</w:t>
      </w:r>
    </w:p>
    <w:p w:rsidR="00FE653E" w:rsidRPr="00FE653E" w:rsidRDefault="00FE653E" w:rsidP="00FE653E">
      <w:pPr>
        <w:numPr>
          <w:ilvl w:val="0"/>
          <w:numId w:val="3"/>
        </w:numPr>
        <w:spacing w:before="0" w:after="0"/>
        <w:ind w:hanging="210"/>
        <w:jc w:val="left"/>
        <w:rPr>
          <w:lang w:val="lv-LV"/>
        </w:rPr>
      </w:pPr>
      <w:r w:rsidRPr="00FE653E">
        <w:rPr>
          <w:lang w:val="lv-LV"/>
        </w:rPr>
        <w:t>Produktīvi ieguldījumi akvakultūrā;</w:t>
      </w:r>
    </w:p>
    <w:p w:rsidR="00FE653E" w:rsidRPr="00FE653E" w:rsidRDefault="00FE653E" w:rsidP="00FE653E">
      <w:pPr>
        <w:numPr>
          <w:ilvl w:val="0"/>
          <w:numId w:val="3"/>
        </w:numPr>
        <w:spacing w:before="0" w:after="0"/>
        <w:ind w:hanging="210"/>
        <w:jc w:val="left"/>
        <w:rPr>
          <w:lang w:val="lv-LV"/>
        </w:rPr>
      </w:pPr>
      <w:r w:rsidRPr="00FE653E">
        <w:rPr>
          <w:lang w:val="lv-LV"/>
        </w:rPr>
        <w:t>Akvakultūra, kas nodrošina vides pakalpojumus;</w:t>
      </w:r>
    </w:p>
    <w:p w:rsidR="00FE653E" w:rsidRPr="00FE653E" w:rsidRDefault="00FE653E" w:rsidP="00FE653E">
      <w:pPr>
        <w:numPr>
          <w:ilvl w:val="0"/>
          <w:numId w:val="3"/>
        </w:numPr>
        <w:spacing w:before="0" w:after="0"/>
        <w:ind w:hanging="210"/>
        <w:jc w:val="left"/>
        <w:rPr>
          <w:lang w:val="lv-LV"/>
        </w:rPr>
      </w:pPr>
      <w:r w:rsidRPr="00FE653E">
        <w:rPr>
          <w:lang w:val="lv-LV"/>
        </w:rPr>
        <w:t>Akvakultūras saimniecībām paredzēti pārvaldības un konsultāciju pakalpojumi;</w:t>
      </w:r>
    </w:p>
    <w:p w:rsidR="00FE653E" w:rsidRPr="00FE653E" w:rsidRDefault="00FE653E" w:rsidP="00FE653E">
      <w:pPr>
        <w:numPr>
          <w:ilvl w:val="0"/>
          <w:numId w:val="3"/>
        </w:numPr>
        <w:spacing w:before="0" w:after="0"/>
        <w:ind w:hanging="210"/>
        <w:jc w:val="left"/>
        <w:rPr>
          <w:lang w:val="lv-LV"/>
        </w:rPr>
      </w:pPr>
      <w:r w:rsidRPr="00FE653E">
        <w:rPr>
          <w:lang w:val="lv-LV"/>
        </w:rPr>
        <w:t>Datu vākšana;</w:t>
      </w:r>
    </w:p>
    <w:p w:rsidR="00FE653E" w:rsidRPr="00FE653E" w:rsidRDefault="00FE653E" w:rsidP="00FE653E">
      <w:pPr>
        <w:numPr>
          <w:ilvl w:val="0"/>
          <w:numId w:val="3"/>
        </w:numPr>
        <w:spacing w:before="0" w:after="0"/>
        <w:ind w:hanging="210"/>
        <w:jc w:val="left"/>
        <w:rPr>
          <w:lang w:val="lv-LV"/>
        </w:rPr>
      </w:pPr>
      <w:r w:rsidRPr="00FE653E">
        <w:rPr>
          <w:lang w:val="lv-LV"/>
        </w:rPr>
        <w:t>Kontrole un izpilde;</w:t>
      </w:r>
    </w:p>
    <w:p w:rsidR="00FE653E" w:rsidRPr="00FE653E" w:rsidRDefault="00FE653E" w:rsidP="00FE653E">
      <w:pPr>
        <w:numPr>
          <w:ilvl w:val="0"/>
          <w:numId w:val="3"/>
        </w:numPr>
        <w:spacing w:before="0" w:after="0"/>
        <w:ind w:hanging="210"/>
        <w:jc w:val="left"/>
        <w:rPr>
          <w:lang w:val="lv-LV"/>
        </w:rPr>
      </w:pPr>
      <w:r w:rsidRPr="00FE653E">
        <w:rPr>
          <w:lang w:val="lv-LV"/>
        </w:rPr>
        <w:t>Sadarbības pasākumi;</w:t>
      </w:r>
    </w:p>
    <w:p w:rsidR="00FE653E" w:rsidRPr="00FE653E" w:rsidRDefault="00FE653E" w:rsidP="00FE653E">
      <w:pPr>
        <w:numPr>
          <w:ilvl w:val="0"/>
          <w:numId w:val="3"/>
        </w:numPr>
        <w:spacing w:before="0" w:after="0"/>
        <w:ind w:hanging="210"/>
        <w:jc w:val="left"/>
        <w:rPr>
          <w:lang w:val="lv-LV"/>
        </w:rPr>
      </w:pPr>
      <w:r w:rsidRPr="00FE653E">
        <w:rPr>
          <w:lang w:val="lv-LV"/>
        </w:rPr>
        <w:t>Uzglabāšanas atbalsts;</w:t>
      </w:r>
    </w:p>
    <w:p w:rsidR="00FE653E" w:rsidRPr="00FE653E" w:rsidRDefault="00FE653E" w:rsidP="00FE653E">
      <w:pPr>
        <w:numPr>
          <w:ilvl w:val="0"/>
          <w:numId w:val="3"/>
        </w:numPr>
        <w:spacing w:before="0" w:after="0"/>
        <w:ind w:hanging="210"/>
        <w:jc w:val="left"/>
        <w:rPr>
          <w:lang w:val="lv-LV"/>
        </w:rPr>
      </w:pPr>
      <w:r w:rsidRPr="00FE653E">
        <w:rPr>
          <w:lang w:val="lv-LV"/>
        </w:rPr>
        <w:t>Ražošanas un tirdzniecības plāni;</w:t>
      </w:r>
    </w:p>
    <w:p w:rsidR="00FE653E" w:rsidRPr="00FE653E" w:rsidRDefault="00FE653E" w:rsidP="00FE653E">
      <w:pPr>
        <w:numPr>
          <w:ilvl w:val="0"/>
          <w:numId w:val="3"/>
        </w:numPr>
        <w:spacing w:before="0" w:after="0"/>
        <w:ind w:hanging="210"/>
        <w:jc w:val="left"/>
        <w:rPr>
          <w:lang w:val="lv-LV"/>
        </w:rPr>
      </w:pPr>
      <w:r w:rsidRPr="00FE653E">
        <w:rPr>
          <w:lang w:val="lv-LV"/>
        </w:rPr>
        <w:t>Tirdzniecības pasākumi;</w:t>
      </w:r>
    </w:p>
    <w:p w:rsidR="00FE653E" w:rsidRPr="00FE653E" w:rsidRDefault="00FE653E" w:rsidP="00FE653E">
      <w:pPr>
        <w:numPr>
          <w:ilvl w:val="0"/>
          <w:numId w:val="3"/>
        </w:numPr>
        <w:spacing w:before="0" w:after="240"/>
        <w:ind w:hanging="210"/>
        <w:jc w:val="left"/>
        <w:rPr>
          <w:lang w:val="lv-LV"/>
        </w:rPr>
      </w:pPr>
      <w:r w:rsidRPr="00FE653E">
        <w:rPr>
          <w:lang w:val="lv-LV"/>
        </w:rPr>
        <w:t>Zvejas un akvakultūras produktu apstrāde.</w:t>
      </w:r>
    </w:p>
    <w:p w:rsidR="00FE653E" w:rsidRPr="00FE653E" w:rsidRDefault="00FE653E" w:rsidP="00FE653E">
      <w:pPr>
        <w:spacing w:before="240" w:after="240"/>
        <w:ind w:firstLine="510"/>
        <w:rPr>
          <w:lang w:val="lv-LV"/>
        </w:rPr>
      </w:pPr>
      <w:r w:rsidRPr="00FE653E">
        <w:rPr>
          <w:lang w:val="lv-LV"/>
        </w:rPr>
        <w:t>Arī pasākumā “Sabiedrības virzītas vietējās attīstības stratēģiju īstenošana” visām sešām zivsaimniecības vietējās rīcības grupām 2018. gadā bija atvērtas projektu iesniegumu pieņemšanas kārtas, kuru ietvaros norisinājās aktīva projektu iesniegumu sniegšana.</w:t>
      </w:r>
    </w:p>
    <w:p w:rsidR="00FE653E" w:rsidRPr="00FE653E" w:rsidRDefault="00FE653E" w:rsidP="00FE653E">
      <w:pPr>
        <w:spacing w:before="240" w:after="240"/>
        <w:ind w:firstLine="510"/>
        <w:rPr>
          <w:lang w:val="lv-LV"/>
        </w:rPr>
      </w:pPr>
      <w:r w:rsidRPr="00FE653E">
        <w:rPr>
          <w:lang w:val="lv-LV"/>
        </w:rPr>
        <w:t xml:space="preserve">Atbalsta pretendentu aktivitāte 2018. gadā kopumā bijusi ievērojama, par ko liecina Lauku atbalsta dienestā, </w:t>
      </w:r>
      <w:proofErr w:type="gramStart"/>
      <w:r w:rsidRPr="00FE653E">
        <w:rPr>
          <w:lang w:val="lv-LV"/>
        </w:rPr>
        <w:t>kas veic starpniekinstitūcijas funkcijas, saņemtie 133 projektu iesniegumi par kopējo</w:t>
      </w:r>
      <w:proofErr w:type="gramEnd"/>
      <w:r w:rsidRPr="00FE653E">
        <w:rPr>
          <w:lang w:val="lv-LV"/>
        </w:rPr>
        <w:t xml:space="preserve"> publisko finansējumu 33,5 milj. EUR. Veicot projektu iesniegumu izvērtēšanu, 2018. gadā tika apstiprināti 102 projektu iesniegumi par kopējo publisko finansējumu 23,8 milj. EUR, bet apmaksāti pilnībā vai daļēji 182 projekti ar publiskā finansējuma apjomu 29 milj. EUR.</w:t>
      </w:r>
    </w:p>
    <w:p w:rsidR="00FE653E" w:rsidRPr="00FE653E" w:rsidRDefault="00FE653E" w:rsidP="0075549C">
      <w:pPr>
        <w:spacing w:before="240" w:after="240"/>
        <w:ind w:firstLine="510"/>
        <w:rPr>
          <w:lang w:val="lv-LV"/>
        </w:rPr>
      </w:pPr>
      <w:r w:rsidRPr="00FE653E">
        <w:rPr>
          <w:lang w:val="lv-LV"/>
        </w:rPr>
        <w:t xml:space="preserve">Ieviešot ZRP, līdz 2018. gada beigām projektu īstenošanai saistības uzņemtas  55 % apmērā, bet izmaksāts finansējums ir 27 % apmērā no ZRP ieviešanai pieejamā publiskā finansējuma. Lielākais īpatsvars uzņemtajās saistībās ir 1. prioritārā virzienā – rezervēti 66 % no kopējā uzņemto saistību publiskā finansējuma, bet 6. prioritārā virzienā saistības ir uzņemtas 100 % apmērā no virzienam pieejamā publiskā finansējuma. Lielākais </w:t>
      </w:r>
      <w:r w:rsidRPr="00FE653E">
        <w:rPr>
          <w:color w:val="000000" w:themeColor="text1"/>
          <w:lang w:val="lv-LV"/>
        </w:rPr>
        <w:t>līdz 2018. gada beigām pilnībā vai daļēji īstenoto projektu skaits ir 5. prioritārā virzienā – 82 projekti no 291 pilnībā vai daļēji īstenotajiem projektiem, par kuriem izdevumi ir deklarēti Eiropas Komisijai.</w:t>
      </w:r>
    </w:p>
    <w:p w:rsidR="00FE653E" w:rsidRPr="00FE653E" w:rsidRDefault="00FE653E" w:rsidP="0075549C">
      <w:pPr>
        <w:spacing w:before="240" w:after="240"/>
        <w:ind w:firstLine="510"/>
        <w:rPr>
          <w:color w:val="000000" w:themeColor="text1"/>
          <w:lang w:val="lv-LV"/>
        </w:rPr>
      </w:pPr>
      <w:r w:rsidRPr="00FE653E">
        <w:rPr>
          <w:color w:val="000000" w:themeColor="text1"/>
          <w:lang w:val="lv-LV"/>
        </w:rPr>
        <w:t>ZRP darbības rezultātu satvarā izvirzītie starpposma mērķi 2018. gadam pilnībā ir sasniegti 1. “Veicināt vides ziņā ilgtspējīgu, resursu ziņā efektīvu, inovatīvu, konkurētspējīgu un uz zināšanām balstītu zvejniecību” (SP1), 4. “Palielināt nodarbinātību un teritoriālo kohēziju” (SP4) un 6. “Veicināt integrētās jūrlietu politikas īstenošanu” (SP6) Savienības prioritātē, bet daļēji nav sasniegti 2. “Veicināt vides ziņā ilgtspējīgu, resursu ziņā efektīvu, inovatīvu, konkurētspējīgu un uz zināšanām balstītu akvakultūru” (SP2), 3. “Sekmēt KZP īstenošanu” (SP3) un 5. “Veicināt tirdzniecību un apstrādi” (SP5) Savienības prioritātē.</w:t>
      </w:r>
    </w:p>
    <w:p w:rsidR="00FE653E" w:rsidRPr="00FE653E" w:rsidRDefault="00FE653E" w:rsidP="0075549C">
      <w:pPr>
        <w:spacing w:before="240" w:after="240"/>
        <w:ind w:firstLine="510"/>
        <w:rPr>
          <w:color w:val="000000"/>
          <w:lang w:val="lv-LV"/>
        </w:rPr>
      </w:pPr>
      <w:r w:rsidRPr="00FE653E">
        <w:rPr>
          <w:color w:val="000000" w:themeColor="text1"/>
          <w:lang w:val="lv-LV"/>
        </w:rPr>
        <w:t xml:space="preserve">SP1 darbības rezultātu satvara starpposma mērķa finanšu rādītājs 2018. gadā ir sasniegts 141% apmērā un </w:t>
      </w:r>
      <w:r w:rsidRPr="00FE653E">
        <w:rPr>
          <w:color w:val="000000"/>
          <w:lang w:val="lv-LV"/>
        </w:rPr>
        <w:t>projektu skaita mērķa rādītājs sasniegts 155% apmērā</w:t>
      </w:r>
      <w:r w:rsidRPr="00FE653E">
        <w:rPr>
          <w:color w:val="000000" w:themeColor="text1"/>
          <w:lang w:val="lv-LV"/>
        </w:rPr>
        <w:t xml:space="preserve">, kur salīdzinājumā ar </w:t>
      </w:r>
      <w:proofErr w:type="gramStart"/>
      <w:r w:rsidRPr="00FE653E">
        <w:rPr>
          <w:color w:val="000000" w:themeColor="text1"/>
          <w:lang w:val="lv-LV"/>
        </w:rPr>
        <w:t>2017.gadu</w:t>
      </w:r>
      <w:proofErr w:type="gramEnd"/>
      <w:r w:rsidRPr="00FE653E">
        <w:rPr>
          <w:color w:val="000000" w:themeColor="text1"/>
          <w:lang w:val="lv-LV"/>
        </w:rPr>
        <w:t xml:space="preserve"> sasnieguma pieaugums attiecīgi ir 99% un 46%. </w:t>
      </w:r>
      <w:r w:rsidRPr="00FE653E">
        <w:rPr>
          <w:color w:val="000000"/>
          <w:lang w:val="lv-LV"/>
        </w:rPr>
        <w:t xml:space="preserve">SP2 starpposma mērķa finanšu rādītājs 2018. gadā ir sasniegts 86 % apmērā un projektu skaita mērķa rādītājs sasniegts 70 % apmērā, kur salīdzinājumā ar </w:t>
      </w:r>
      <w:proofErr w:type="gramStart"/>
      <w:r w:rsidRPr="00FE653E">
        <w:rPr>
          <w:color w:val="000000"/>
          <w:lang w:val="lv-LV"/>
        </w:rPr>
        <w:t>2017.gadu</w:t>
      </w:r>
      <w:proofErr w:type="gramEnd"/>
      <w:r w:rsidRPr="00FE653E">
        <w:rPr>
          <w:color w:val="000000"/>
          <w:lang w:val="lv-LV"/>
        </w:rPr>
        <w:t xml:space="preserve"> sasnieguma pieaugums attiecīgi ir 48% un 17%. SP3 starpposma mērķa finanšu rādītājs 2018. gadā ir sasniegts 66,7% apmērā un projektu skaita mērķa rādītājs kontroles pasākumā sasniegts 140%</w:t>
      </w:r>
      <w:proofErr w:type="gramStart"/>
      <w:r w:rsidRPr="00FE653E">
        <w:rPr>
          <w:color w:val="000000"/>
          <w:lang w:val="lv-LV"/>
        </w:rPr>
        <w:t xml:space="preserve">  </w:t>
      </w:r>
      <w:proofErr w:type="gramEnd"/>
      <w:r w:rsidRPr="00FE653E">
        <w:rPr>
          <w:color w:val="000000"/>
          <w:lang w:val="lv-LV"/>
        </w:rPr>
        <w:t>un datu vākšanas pasākumā 100% apmērā, kur salīdzinājumā ar 2017.gadu sasnieguma pieaugums finanšu rādītājam attiecīgi ir 16,7%, savukārt projektu skaitam kontroles pasākumā 40% un datu vākšanas pasākumā bez izmaiņām. SP4 starpposma mērķa finanšu rādītājs 2018. gadā ir sasniegts 105,2% apmērā un vietējo attīstības stratēģiju skaita mērķa rādītājs 86% apmērā, kur salīdzinājumā ar 2017.gadu sasnieguma pieaugums attiecīgi ir 57% un vietējo attīstības stratēģiju skaits nav mainījies. SP5 starpposma mērķa finanšu rādītājs 2018. gadā ir sasniegts 63,1% apmērā un projektu skaita mērķa rādītājs 129% apmērā, kur salīdzinājumā ar 2017.gadu sasnieguma pieaugums attiecīgi ir 25% un 23%. SP6 starpposma mērķa finanšu rādītājs 2018. gadā ir sasniegts 85% apmērā un projektu skaita mērķa rādītājs sasniegts 100% apmērā, kur salīdzinājumā ar 2017.gadu sasnieguma pieaugums attiecīgi ir 85% un projektu skaits nav mainījies.</w:t>
      </w:r>
    </w:p>
    <w:p w:rsidR="00FE653E" w:rsidRPr="00FE653E" w:rsidRDefault="00FE653E" w:rsidP="0075549C">
      <w:pPr>
        <w:spacing w:before="240" w:after="240"/>
        <w:ind w:firstLine="510"/>
        <w:rPr>
          <w:color w:val="000000" w:themeColor="text1"/>
          <w:lang w:val="lv-LV"/>
        </w:rPr>
      </w:pPr>
      <w:r w:rsidRPr="00FE653E">
        <w:rPr>
          <w:color w:val="000000" w:themeColor="text1"/>
          <w:lang w:val="lv-LV"/>
        </w:rPr>
        <w:t xml:space="preserve">SP2 projekti pēc skaita ir mazāk, bet ir finanšu apjomā lielāki, nekā tika prognozēts plānošanas perioda sākumā. Atbalsta saņēmēju aktivitāte šajā plānošanas periodā salīdzinājumā ar iepriekšējo ir samazinājusies, jo izvirzītākas stingrākas prasības atbalsta pretendentiem attiecībā uz konkrētu rādītāju sasniegšanu. SP3 ir salīdzinoši zems izmaksātā finansējuma apjoms pasākumā “Kontrole un izpilde”, kuram pieejamo nodalīto finansējuma aploksni ir noteikusi Eiropas Komisija, un, ņemot vērā EJZF regulas Nr.508/2014 </w:t>
      </w:r>
      <w:proofErr w:type="gramStart"/>
      <w:r w:rsidRPr="00FE653E">
        <w:rPr>
          <w:color w:val="000000" w:themeColor="text1"/>
          <w:lang w:val="lv-LV"/>
        </w:rPr>
        <w:t>76.pantā</w:t>
      </w:r>
      <w:proofErr w:type="gramEnd"/>
      <w:r w:rsidRPr="00FE653E">
        <w:rPr>
          <w:color w:val="000000" w:themeColor="text1"/>
          <w:lang w:val="lv-LV"/>
        </w:rPr>
        <w:t xml:space="preserve"> “Kontrole un izpilde” noteiktās ierobežotās attiecināmās darbības, finansējuma piesaistes iespējas ir zināmā mērā ierobežotas. Savukārt SP5 projektu īstenošanu būtiski ietekmēja Krievijas sankciju radītās ilgtermiņa sekas, kuru rezultātā investīcijas zvejas produktu apstrādes sektorā tika veiktas piesardzīgi, ņemot vērā iespējas alternatīvos produktu noieta tirgos - ir īstenoti finanšu apjomā mazāki projekti.</w:t>
      </w:r>
    </w:p>
    <w:p w:rsidR="00FE653E" w:rsidRPr="00FE653E" w:rsidRDefault="00FE653E" w:rsidP="0075549C">
      <w:pPr>
        <w:spacing w:before="240" w:after="240"/>
        <w:ind w:firstLine="510"/>
        <w:rPr>
          <w:color w:val="000000" w:themeColor="text1"/>
          <w:lang w:val="lv-LV"/>
        </w:rPr>
      </w:pPr>
      <w:r w:rsidRPr="00FE653E">
        <w:rPr>
          <w:color w:val="000000" w:themeColor="text1"/>
          <w:lang w:val="lv-LV"/>
        </w:rPr>
        <w:t>Līdz ar to Vadošā iestāde plāno veikt koriģējošas darbības</w:t>
      </w:r>
      <w:proofErr w:type="gramStart"/>
      <w:r w:rsidRPr="00FE653E">
        <w:rPr>
          <w:color w:val="000000" w:themeColor="text1"/>
          <w:lang w:val="lv-LV"/>
        </w:rPr>
        <w:t xml:space="preserve"> novirzot izpildes rezerves finansējumu no SP2, SP3 un SP5 Savienības prioritātes uz SP1</w:t>
      </w:r>
      <w:proofErr w:type="gramEnd"/>
      <w:r w:rsidRPr="00FE653E">
        <w:rPr>
          <w:color w:val="000000" w:themeColor="text1"/>
          <w:lang w:val="lv-LV"/>
        </w:rPr>
        <w:t xml:space="preserve">, kurā starpposma mērķu rādītāji ir sasniegti. </w:t>
      </w:r>
    </w:p>
    <w:p w:rsidR="00FD7782" w:rsidRPr="00FE653E" w:rsidRDefault="00FE653E" w:rsidP="0075549C">
      <w:pPr>
        <w:spacing w:before="240" w:after="240"/>
        <w:ind w:firstLine="510"/>
        <w:rPr>
          <w:lang w:val="lv-LV"/>
        </w:rPr>
      </w:pPr>
      <w:r w:rsidRPr="00FE653E">
        <w:rPr>
          <w:color w:val="000000" w:themeColor="text1"/>
          <w:lang w:val="lv-LV"/>
        </w:rPr>
        <w:t xml:space="preserve">Lai nodrošinātu ZRP </w:t>
      </w:r>
      <w:proofErr w:type="gramStart"/>
      <w:r w:rsidRPr="00FE653E">
        <w:rPr>
          <w:color w:val="000000" w:themeColor="text1"/>
          <w:lang w:val="lv-LV"/>
        </w:rPr>
        <w:t>2023.gadam</w:t>
      </w:r>
      <w:proofErr w:type="gramEnd"/>
      <w:r w:rsidRPr="00FE653E">
        <w:rPr>
          <w:color w:val="000000" w:themeColor="text1"/>
          <w:lang w:val="lv-LV"/>
        </w:rPr>
        <w:t xml:space="preserve"> izvirzīto mērķu sasniegšanu, Vadošā iestāde, balstoties uz rūpīgu informācijas analīzi, saziņā ar partneriem veiks nepieciešamos grozījumus nacionālajos normatīvajos aktos, izsludinās regulāras projektu iesniegumu iesniegšanas kārtas pasākumos, ieskaitot nepārtraukto pieteikšanos, kā arī nepieciešamības gadījumā rosinās grozījumus ZRP, tostarp finansējuma pārdalei starp pasākumiem.</w:t>
      </w:r>
    </w:p>
    <w:sectPr w:rsidR="00FD7782" w:rsidRPr="00FE65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95D80"/>
    <w:multiLevelType w:val="hybridMultilevel"/>
    <w:tmpl w:val="7BE95D80"/>
    <w:lvl w:ilvl="0" w:tplc="25EE8554">
      <w:start w:val="1"/>
      <w:numFmt w:val="bullet"/>
      <w:lvlText w:val=""/>
      <w:lvlJc w:val="left"/>
      <w:pPr>
        <w:ind w:left="720" w:hanging="360"/>
      </w:pPr>
      <w:rPr>
        <w:rFonts w:ascii="Symbol" w:hAnsi="Symbol"/>
      </w:rPr>
    </w:lvl>
    <w:lvl w:ilvl="1" w:tplc="573028BA">
      <w:start w:val="1"/>
      <w:numFmt w:val="bullet"/>
      <w:lvlText w:val="o"/>
      <w:lvlJc w:val="left"/>
      <w:pPr>
        <w:tabs>
          <w:tab w:val="num" w:pos="1440"/>
        </w:tabs>
        <w:ind w:left="1440" w:hanging="360"/>
      </w:pPr>
      <w:rPr>
        <w:rFonts w:ascii="Courier New" w:hAnsi="Courier New"/>
      </w:rPr>
    </w:lvl>
    <w:lvl w:ilvl="2" w:tplc="CF185EB8">
      <w:start w:val="1"/>
      <w:numFmt w:val="bullet"/>
      <w:lvlText w:val=""/>
      <w:lvlJc w:val="left"/>
      <w:pPr>
        <w:tabs>
          <w:tab w:val="num" w:pos="2160"/>
        </w:tabs>
        <w:ind w:left="2160" w:hanging="360"/>
      </w:pPr>
      <w:rPr>
        <w:rFonts w:ascii="Wingdings" w:hAnsi="Wingdings"/>
      </w:rPr>
    </w:lvl>
    <w:lvl w:ilvl="3" w:tplc="0BD8A8DA">
      <w:start w:val="1"/>
      <w:numFmt w:val="bullet"/>
      <w:lvlText w:val=""/>
      <w:lvlJc w:val="left"/>
      <w:pPr>
        <w:tabs>
          <w:tab w:val="num" w:pos="2880"/>
        </w:tabs>
        <w:ind w:left="2880" w:hanging="360"/>
      </w:pPr>
      <w:rPr>
        <w:rFonts w:ascii="Symbol" w:hAnsi="Symbol"/>
      </w:rPr>
    </w:lvl>
    <w:lvl w:ilvl="4" w:tplc="3072D0B0">
      <w:start w:val="1"/>
      <w:numFmt w:val="bullet"/>
      <w:lvlText w:val="o"/>
      <w:lvlJc w:val="left"/>
      <w:pPr>
        <w:tabs>
          <w:tab w:val="num" w:pos="3600"/>
        </w:tabs>
        <w:ind w:left="3600" w:hanging="360"/>
      </w:pPr>
      <w:rPr>
        <w:rFonts w:ascii="Courier New" w:hAnsi="Courier New"/>
      </w:rPr>
    </w:lvl>
    <w:lvl w:ilvl="5" w:tplc="98E4F582">
      <w:start w:val="1"/>
      <w:numFmt w:val="bullet"/>
      <w:lvlText w:val=""/>
      <w:lvlJc w:val="left"/>
      <w:pPr>
        <w:tabs>
          <w:tab w:val="num" w:pos="4320"/>
        </w:tabs>
        <w:ind w:left="4320" w:hanging="360"/>
      </w:pPr>
      <w:rPr>
        <w:rFonts w:ascii="Wingdings" w:hAnsi="Wingdings"/>
      </w:rPr>
    </w:lvl>
    <w:lvl w:ilvl="6" w:tplc="1F80CCFE">
      <w:start w:val="1"/>
      <w:numFmt w:val="bullet"/>
      <w:lvlText w:val=""/>
      <w:lvlJc w:val="left"/>
      <w:pPr>
        <w:tabs>
          <w:tab w:val="num" w:pos="5040"/>
        </w:tabs>
        <w:ind w:left="5040" w:hanging="360"/>
      </w:pPr>
      <w:rPr>
        <w:rFonts w:ascii="Symbol" w:hAnsi="Symbol"/>
      </w:rPr>
    </w:lvl>
    <w:lvl w:ilvl="7" w:tplc="BF768D68">
      <w:start w:val="1"/>
      <w:numFmt w:val="bullet"/>
      <w:lvlText w:val="o"/>
      <w:lvlJc w:val="left"/>
      <w:pPr>
        <w:tabs>
          <w:tab w:val="num" w:pos="5760"/>
        </w:tabs>
        <w:ind w:left="5760" w:hanging="360"/>
      </w:pPr>
      <w:rPr>
        <w:rFonts w:ascii="Courier New" w:hAnsi="Courier New"/>
      </w:rPr>
    </w:lvl>
    <w:lvl w:ilvl="8" w:tplc="737856F6">
      <w:start w:val="1"/>
      <w:numFmt w:val="bullet"/>
      <w:lvlText w:val=""/>
      <w:lvlJc w:val="left"/>
      <w:pPr>
        <w:tabs>
          <w:tab w:val="num" w:pos="6480"/>
        </w:tabs>
        <w:ind w:left="6480" w:hanging="360"/>
      </w:pPr>
      <w:rPr>
        <w:rFonts w:ascii="Wingdings" w:hAnsi="Wingdings"/>
      </w:rPr>
    </w:lvl>
  </w:abstractNum>
  <w:abstractNum w:abstractNumId="1" w15:restartNumberingAfterBreak="0">
    <w:nsid w:val="7BE95D81"/>
    <w:multiLevelType w:val="hybridMultilevel"/>
    <w:tmpl w:val="7BE95D81"/>
    <w:lvl w:ilvl="0" w:tplc="3D30DC2C">
      <w:start w:val="1"/>
      <w:numFmt w:val="bullet"/>
      <w:lvlText w:val=""/>
      <w:lvlJc w:val="left"/>
      <w:pPr>
        <w:ind w:left="720" w:hanging="360"/>
      </w:pPr>
      <w:rPr>
        <w:rFonts w:ascii="Symbol" w:hAnsi="Symbol"/>
      </w:rPr>
    </w:lvl>
    <w:lvl w:ilvl="1" w:tplc="2C227F20">
      <w:start w:val="1"/>
      <w:numFmt w:val="bullet"/>
      <w:lvlText w:val="o"/>
      <w:lvlJc w:val="left"/>
      <w:pPr>
        <w:tabs>
          <w:tab w:val="num" w:pos="1440"/>
        </w:tabs>
        <w:ind w:left="1440" w:hanging="360"/>
      </w:pPr>
      <w:rPr>
        <w:rFonts w:ascii="Courier New" w:hAnsi="Courier New"/>
      </w:rPr>
    </w:lvl>
    <w:lvl w:ilvl="2" w:tplc="6F708CFE">
      <w:start w:val="1"/>
      <w:numFmt w:val="bullet"/>
      <w:lvlText w:val=""/>
      <w:lvlJc w:val="left"/>
      <w:pPr>
        <w:tabs>
          <w:tab w:val="num" w:pos="2160"/>
        </w:tabs>
        <w:ind w:left="2160" w:hanging="360"/>
      </w:pPr>
      <w:rPr>
        <w:rFonts w:ascii="Wingdings" w:hAnsi="Wingdings"/>
      </w:rPr>
    </w:lvl>
    <w:lvl w:ilvl="3" w:tplc="590EF3FC">
      <w:start w:val="1"/>
      <w:numFmt w:val="bullet"/>
      <w:lvlText w:val=""/>
      <w:lvlJc w:val="left"/>
      <w:pPr>
        <w:tabs>
          <w:tab w:val="num" w:pos="2880"/>
        </w:tabs>
        <w:ind w:left="2880" w:hanging="360"/>
      </w:pPr>
      <w:rPr>
        <w:rFonts w:ascii="Symbol" w:hAnsi="Symbol"/>
      </w:rPr>
    </w:lvl>
    <w:lvl w:ilvl="4" w:tplc="B00062D6">
      <w:start w:val="1"/>
      <w:numFmt w:val="bullet"/>
      <w:lvlText w:val="o"/>
      <w:lvlJc w:val="left"/>
      <w:pPr>
        <w:tabs>
          <w:tab w:val="num" w:pos="3600"/>
        </w:tabs>
        <w:ind w:left="3600" w:hanging="360"/>
      </w:pPr>
      <w:rPr>
        <w:rFonts w:ascii="Courier New" w:hAnsi="Courier New"/>
      </w:rPr>
    </w:lvl>
    <w:lvl w:ilvl="5" w:tplc="429261A2">
      <w:start w:val="1"/>
      <w:numFmt w:val="bullet"/>
      <w:lvlText w:val=""/>
      <w:lvlJc w:val="left"/>
      <w:pPr>
        <w:tabs>
          <w:tab w:val="num" w:pos="4320"/>
        </w:tabs>
        <w:ind w:left="4320" w:hanging="360"/>
      </w:pPr>
      <w:rPr>
        <w:rFonts w:ascii="Wingdings" w:hAnsi="Wingdings"/>
      </w:rPr>
    </w:lvl>
    <w:lvl w:ilvl="6" w:tplc="23C0DD48">
      <w:start w:val="1"/>
      <w:numFmt w:val="bullet"/>
      <w:lvlText w:val=""/>
      <w:lvlJc w:val="left"/>
      <w:pPr>
        <w:tabs>
          <w:tab w:val="num" w:pos="5040"/>
        </w:tabs>
        <w:ind w:left="5040" w:hanging="360"/>
      </w:pPr>
      <w:rPr>
        <w:rFonts w:ascii="Symbol" w:hAnsi="Symbol"/>
      </w:rPr>
    </w:lvl>
    <w:lvl w:ilvl="7" w:tplc="9E02282E">
      <w:start w:val="1"/>
      <w:numFmt w:val="bullet"/>
      <w:lvlText w:val="o"/>
      <w:lvlJc w:val="left"/>
      <w:pPr>
        <w:tabs>
          <w:tab w:val="num" w:pos="5760"/>
        </w:tabs>
        <w:ind w:left="5760" w:hanging="360"/>
      </w:pPr>
      <w:rPr>
        <w:rFonts w:ascii="Courier New" w:hAnsi="Courier New"/>
      </w:rPr>
    </w:lvl>
    <w:lvl w:ilvl="8" w:tplc="B3626AD2">
      <w:start w:val="1"/>
      <w:numFmt w:val="bullet"/>
      <w:lvlText w:val=""/>
      <w:lvlJc w:val="left"/>
      <w:pPr>
        <w:tabs>
          <w:tab w:val="num" w:pos="6480"/>
        </w:tabs>
        <w:ind w:left="6480" w:hanging="360"/>
      </w:pPr>
      <w:rPr>
        <w:rFonts w:ascii="Wingdings" w:hAnsi="Wingdings"/>
      </w:rPr>
    </w:lvl>
  </w:abstractNum>
  <w:abstractNum w:abstractNumId="2" w15:restartNumberingAfterBreak="0">
    <w:nsid w:val="7BE95D82"/>
    <w:multiLevelType w:val="hybridMultilevel"/>
    <w:tmpl w:val="7BE95D82"/>
    <w:lvl w:ilvl="0" w:tplc="8084D1D4">
      <w:start w:val="1"/>
      <w:numFmt w:val="bullet"/>
      <w:lvlText w:val=""/>
      <w:lvlJc w:val="left"/>
      <w:pPr>
        <w:ind w:left="720" w:hanging="360"/>
      </w:pPr>
      <w:rPr>
        <w:rFonts w:ascii="Symbol" w:hAnsi="Symbol"/>
      </w:rPr>
    </w:lvl>
    <w:lvl w:ilvl="1" w:tplc="541C2C62">
      <w:start w:val="1"/>
      <w:numFmt w:val="bullet"/>
      <w:lvlText w:val="o"/>
      <w:lvlJc w:val="left"/>
      <w:pPr>
        <w:tabs>
          <w:tab w:val="num" w:pos="1440"/>
        </w:tabs>
        <w:ind w:left="1440" w:hanging="360"/>
      </w:pPr>
      <w:rPr>
        <w:rFonts w:ascii="Courier New" w:hAnsi="Courier New"/>
      </w:rPr>
    </w:lvl>
    <w:lvl w:ilvl="2" w:tplc="23DC26C6">
      <w:start w:val="1"/>
      <w:numFmt w:val="bullet"/>
      <w:lvlText w:val=""/>
      <w:lvlJc w:val="left"/>
      <w:pPr>
        <w:tabs>
          <w:tab w:val="num" w:pos="2160"/>
        </w:tabs>
        <w:ind w:left="2160" w:hanging="360"/>
      </w:pPr>
      <w:rPr>
        <w:rFonts w:ascii="Wingdings" w:hAnsi="Wingdings"/>
      </w:rPr>
    </w:lvl>
    <w:lvl w:ilvl="3" w:tplc="C58ACDA2">
      <w:start w:val="1"/>
      <w:numFmt w:val="bullet"/>
      <w:lvlText w:val=""/>
      <w:lvlJc w:val="left"/>
      <w:pPr>
        <w:tabs>
          <w:tab w:val="num" w:pos="2880"/>
        </w:tabs>
        <w:ind w:left="2880" w:hanging="360"/>
      </w:pPr>
      <w:rPr>
        <w:rFonts w:ascii="Symbol" w:hAnsi="Symbol"/>
      </w:rPr>
    </w:lvl>
    <w:lvl w:ilvl="4" w:tplc="6F7A1D88">
      <w:start w:val="1"/>
      <w:numFmt w:val="bullet"/>
      <w:lvlText w:val="o"/>
      <w:lvlJc w:val="left"/>
      <w:pPr>
        <w:tabs>
          <w:tab w:val="num" w:pos="3600"/>
        </w:tabs>
        <w:ind w:left="3600" w:hanging="360"/>
      </w:pPr>
      <w:rPr>
        <w:rFonts w:ascii="Courier New" w:hAnsi="Courier New"/>
      </w:rPr>
    </w:lvl>
    <w:lvl w:ilvl="5" w:tplc="409E5C96">
      <w:start w:val="1"/>
      <w:numFmt w:val="bullet"/>
      <w:lvlText w:val=""/>
      <w:lvlJc w:val="left"/>
      <w:pPr>
        <w:tabs>
          <w:tab w:val="num" w:pos="4320"/>
        </w:tabs>
        <w:ind w:left="4320" w:hanging="360"/>
      </w:pPr>
      <w:rPr>
        <w:rFonts w:ascii="Wingdings" w:hAnsi="Wingdings"/>
      </w:rPr>
    </w:lvl>
    <w:lvl w:ilvl="6" w:tplc="4B9C1F38">
      <w:start w:val="1"/>
      <w:numFmt w:val="bullet"/>
      <w:lvlText w:val=""/>
      <w:lvlJc w:val="left"/>
      <w:pPr>
        <w:tabs>
          <w:tab w:val="num" w:pos="5040"/>
        </w:tabs>
        <w:ind w:left="5040" w:hanging="360"/>
      </w:pPr>
      <w:rPr>
        <w:rFonts w:ascii="Symbol" w:hAnsi="Symbol"/>
      </w:rPr>
    </w:lvl>
    <w:lvl w:ilvl="7" w:tplc="1A80E2AC">
      <w:start w:val="1"/>
      <w:numFmt w:val="bullet"/>
      <w:lvlText w:val="o"/>
      <w:lvlJc w:val="left"/>
      <w:pPr>
        <w:tabs>
          <w:tab w:val="num" w:pos="5760"/>
        </w:tabs>
        <w:ind w:left="5760" w:hanging="360"/>
      </w:pPr>
      <w:rPr>
        <w:rFonts w:ascii="Courier New" w:hAnsi="Courier New"/>
      </w:rPr>
    </w:lvl>
    <w:lvl w:ilvl="8" w:tplc="7B4CB6C0">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5"/>
    <w:rsid w:val="000D15FA"/>
    <w:rsid w:val="002A0CB0"/>
    <w:rsid w:val="00440344"/>
    <w:rsid w:val="0075549C"/>
    <w:rsid w:val="008E48C0"/>
    <w:rsid w:val="00FD7782"/>
    <w:rsid w:val="00FE653E"/>
    <w:rsid w:val="00FF4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35FC"/>
  <w15:chartTrackingRefBased/>
  <w15:docId w15:val="{D93F4752-C731-4C50-80D7-BD900051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47B5"/>
    <w:pPr>
      <w:spacing w:before="120" w:after="120" w:line="240" w:lineRule="auto"/>
      <w:jc w:val="both"/>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4169</Words>
  <Characters>2377</Characters>
  <Application>Microsoft Office Word</Application>
  <DocSecurity>0</DocSecurity>
  <Lines>19</Lines>
  <Paragraphs>13</Paragraphs>
  <ScaleCrop>false</ScaleCrop>
  <Company>Zemkopības Ministrija</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Grīnberga</dc:creator>
  <cp:keywords/>
  <dc:description/>
  <cp:lastModifiedBy>ZM</cp:lastModifiedBy>
  <cp:revision>7</cp:revision>
  <dcterms:created xsi:type="dcterms:W3CDTF">2018-05-28T06:12:00Z</dcterms:created>
  <dcterms:modified xsi:type="dcterms:W3CDTF">2019-05-07T13:43:00Z</dcterms:modified>
</cp:coreProperties>
</file>